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E48" w:rsidRPr="000D259D" w:rsidRDefault="00740049" w:rsidP="00F40ACA">
      <w:pPr>
        <w:spacing w:after="0"/>
        <w:jc w:val="center"/>
        <w:rPr>
          <w:rFonts w:ascii="Times New Roman" w:hAnsi="Times New Roman" w:cs="Times New Roman"/>
          <w:b/>
          <w:bCs/>
          <w:szCs w:val="22"/>
          <w:lang w:val="en-US"/>
        </w:rPr>
      </w:pPr>
      <w:r>
        <w:rPr>
          <w:rFonts w:ascii="Times New Roman" w:hAnsi="Times New Roman" w:cs="Times New Roman"/>
          <w:b/>
          <w:bCs/>
          <w:szCs w:val="22"/>
        </w:rPr>
        <w:t xml:space="preserve">Corrigendum on </w:t>
      </w:r>
      <w:r w:rsidR="00F24E48" w:rsidRPr="00740049">
        <w:rPr>
          <w:rFonts w:ascii="Times New Roman" w:hAnsi="Times New Roman" w:cs="Times New Roman"/>
          <w:b/>
          <w:bCs/>
          <w:i/>
          <w:iCs/>
          <w:szCs w:val="22"/>
        </w:rPr>
        <w:t>Instructions to Field Staff</w:t>
      </w:r>
      <w:r w:rsidR="00F24E48" w:rsidRPr="000D259D">
        <w:rPr>
          <w:rFonts w:ascii="Times New Roman" w:hAnsi="Times New Roman" w:cs="Times New Roman"/>
          <w:b/>
          <w:bCs/>
          <w:szCs w:val="22"/>
        </w:rPr>
        <w:t>, Vol. I &amp;.II, NSS 73</w:t>
      </w:r>
      <w:r w:rsidR="00F24E48" w:rsidRPr="000D259D">
        <w:rPr>
          <w:rFonts w:ascii="Times New Roman" w:hAnsi="Times New Roman" w:cs="Times New Roman"/>
          <w:b/>
          <w:bCs/>
          <w:szCs w:val="22"/>
          <w:vertAlign w:val="superscript"/>
        </w:rPr>
        <w:t>rd</w:t>
      </w:r>
      <w:r w:rsidR="00F24E48" w:rsidRPr="000D259D">
        <w:rPr>
          <w:rFonts w:ascii="Times New Roman" w:hAnsi="Times New Roman" w:cs="Times New Roman"/>
          <w:b/>
          <w:bCs/>
          <w:szCs w:val="22"/>
        </w:rPr>
        <w:t xml:space="preserve"> Round </w:t>
      </w:r>
    </w:p>
    <w:p w:rsidR="00F24E48" w:rsidRPr="000D259D" w:rsidRDefault="00F24E48" w:rsidP="00D62732">
      <w:pPr>
        <w:rPr>
          <w:rFonts w:ascii="Times New Roman" w:hAnsi="Times New Roman" w:cs="Times New Roman"/>
          <w:szCs w:val="22"/>
          <w:lang w:val="en-US"/>
        </w:rPr>
      </w:pPr>
    </w:p>
    <w:p w:rsidR="00F24E48" w:rsidRPr="000D259D" w:rsidRDefault="00F24E48" w:rsidP="007976F7">
      <w:pPr>
        <w:jc w:val="both"/>
        <w:rPr>
          <w:rFonts w:ascii="Times New Roman" w:hAnsi="Times New Roman" w:cs="Times New Roman"/>
          <w:szCs w:val="22"/>
        </w:rPr>
      </w:pPr>
      <w:r w:rsidRPr="000D259D">
        <w:rPr>
          <w:rFonts w:ascii="Times New Roman" w:hAnsi="Times New Roman" w:cs="Times New Roman"/>
          <w:szCs w:val="22"/>
        </w:rPr>
        <w:t xml:space="preserve">The following </w:t>
      </w:r>
      <w:r w:rsidR="00300C83">
        <w:rPr>
          <w:rFonts w:ascii="Times New Roman" w:hAnsi="Times New Roman" w:cs="Times New Roman"/>
          <w:szCs w:val="22"/>
        </w:rPr>
        <w:t>issues may</w:t>
      </w:r>
      <w:r w:rsidR="0013017D">
        <w:rPr>
          <w:rFonts w:ascii="Times New Roman" w:hAnsi="Times New Roman" w:cs="Times New Roman"/>
          <w:szCs w:val="22"/>
        </w:rPr>
        <w:t xml:space="preserve">  be noted related to </w:t>
      </w:r>
      <w:r w:rsidRPr="000D259D">
        <w:rPr>
          <w:rFonts w:ascii="Times New Roman" w:hAnsi="Times New Roman" w:cs="Times New Roman"/>
          <w:szCs w:val="22"/>
        </w:rPr>
        <w:t xml:space="preserve">Vol.I and Vol.II </w:t>
      </w:r>
      <w:r w:rsidR="0013017D" w:rsidRPr="000D259D">
        <w:rPr>
          <w:rFonts w:ascii="Times New Roman" w:hAnsi="Times New Roman" w:cs="Times New Roman"/>
          <w:szCs w:val="22"/>
        </w:rPr>
        <w:t xml:space="preserve">of </w:t>
      </w:r>
      <w:r w:rsidR="0013017D">
        <w:rPr>
          <w:rFonts w:ascii="Times New Roman" w:hAnsi="Times New Roman" w:cs="Times New Roman"/>
          <w:szCs w:val="22"/>
        </w:rPr>
        <w:t>Instructions</w:t>
      </w:r>
      <w:r w:rsidRPr="000D259D">
        <w:rPr>
          <w:rFonts w:ascii="Times New Roman" w:hAnsi="Times New Roman" w:cs="Times New Roman"/>
          <w:szCs w:val="22"/>
        </w:rPr>
        <w:t xml:space="preserve"> to Field Staff, NSS 73</w:t>
      </w:r>
      <w:r w:rsidRPr="000D259D">
        <w:rPr>
          <w:rFonts w:ascii="Times New Roman" w:hAnsi="Times New Roman" w:cs="Times New Roman"/>
          <w:szCs w:val="22"/>
          <w:vertAlign w:val="superscript"/>
        </w:rPr>
        <w:t>rd</w:t>
      </w:r>
      <w:r w:rsidRPr="000D259D">
        <w:rPr>
          <w:rFonts w:ascii="Times New Roman" w:hAnsi="Times New Roman" w:cs="Times New Roman"/>
          <w:szCs w:val="22"/>
        </w:rPr>
        <w:t xml:space="preserve"> Round.</w:t>
      </w:r>
    </w:p>
    <w:p w:rsidR="002F495E" w:rsidRPr="0013017D" w:rsidRDefault="002F495E" w:rsidP="00D62732">
      <w:pPr>
        <w:rPr>
          <w:rFonts w:ascii="Times New Roman" w:hAnsi="Times New Roman" w:cs="Times New Roman"/>
          <w:b/>
          <w:bCs/>
          <w:szCs w:val="22"/>
          <w:lang w:val="en-US"/>
        </w:rPr>
      </w:pPr>
      <w:r w:rsidRPr="007976F7">
        <w:rPr>
          <w:rFonts w:ascii="Times New Roman" w:hAnsi="Times New Roman" w:cs="Times New Roman"/>
          <w:szCs w:val="22"/>
        </w:rPr>
        <w:t>(</w:t>
      </w:r>
      <w:r w:rsidR="007976F7" w:rsidRPr="007976F7">
        <w:rPr>
          <w:rFonts w:ascii="Times New Roman" w:hAnsi="Times New Roman" w:cs="Times New Roman"/>
          <w:szCs w:val="22"/>
        </w:rPr>
        <w:t>i</w:t>
      </w:r>
      <w:r w:rsidRPr="007976F7">
        <w:rPr>
          <w:rFonts w:ascii="Times New Roman" w:hAnsi="Times New Roman" w:cs="Times New Roman"/>
          <w:szCs w:val="22"/>
        </w:rPr>
        <w:t>):</w:t>
      </w:r>
      <w:r w:rsidRPr="000D259D">
        <w:rPr>
          <w:rFonts w:ascii="Times New Roman" w:hAnsi="Times New Roman" w:cs="Times New Roman"/>
          <w:szCs w:val="22"/>
        </w:rPr>
        <w:t xml:space="preserve"> </w:t>
      </w:r>
      <w:r w:rsidR="005E5D6E">
        <w:rPr>
          <w:rFonts w:ascii="Times New Roman" w:hAnsi="Times New Roman" w:cs="Times New Roman"/>
          <w:szCs w:val="22"/>
        </w:rPr>
        <w:t xml:space="preserve"> code 12 : sale tax and code 18: Employees Provident Fund Organisation (EPFO) </w:t>
      </w:r>
      <w:r w:rsidR="00A85F6E">
        <w:rPr>
          <w:rFonts w:ascii="Times New Roman" w:hAnsi="Times New Roman" w:cs="Times New Roman"/>
          <w:szCs w:val="22"/>
        </w:rPr>
        <w:t xml:space="preserve">provided for item 234 to 236 are already reflected against item 230 and 231 of block 2. </w:t>
      </w:r>
      <w:r w:rsidR="00A85F6E" w:rsidRPr="0013017D">
        <w:rPr>
          <w:rFonts w:ascii="Times New Roman" w:hAnsi="Times New Roman" w:cs="Times New Roman"/>
          <w:b/>
          <w:bCs/>
          <w:szCs w:val="22"/>
        </w:rPr>
        <w:t>To avoid the duplication</w:t>
      </w:r>
      <w:r w:rsidR="00A85F6E">
        <w:rPr>
          <w:rFonts w:ascii="Times New Roman" w:hAnsi="Times New Roman" w:cs="Times New Roman"/>
          <w:szCs w:val="22"/>
        </w:rPr>
        <w:t xml:space="preserve"> </w:t>
      </w:r>
      <w:r w:rsidR="00A85F6E" w:rsidRPr="0013017D">
        <w:rPr>
          <w:rFonts w:ascii="Times New Roman" w:hAnsi="Times New Roman" w:cs="Times New Roman"/>
          <w:b/>
          <w:bCs/>
          <w:szCs w:val="22"/>
        </w:rPr>
        <w:t>Filed Staff</w:t>
      </w:r>
      <w:r w:rsidR="0013017D" w:rsidRPr="0013017D">
        <w:rPr>
          <w:rFonts w:ascii="Times New Roman" w:hAnsi="Times New Roman" w:cs="Times New Roman"/>
          <w:b/>
          <w:bCs/>
          <w:szCs w:val="22"/>
        </w:rPr>
        <w:t xml:space="preserve"> may be instructed not to report code 12 and 18 against items 234 to 236</w:t>
      </w:r>
      <w:r w:rsidR="00B4157D">
        <w:rPr>
          <w:rFonts w:ascii="Times New Roman" w:hAnsi="Times New Roman" w:cs="Times New Roman"/>
          <w:b/>
          <w:bCs/>
          <w:szCs w:val="22"/>
        </w:rPr>
        <w:t xml:space="preserve"> of Sch.2.34.</w:t>
      </w:r>
    </w:p>
    <w:p w:rsidR="002F495E" w:rsidRPr="000D259D" w:rsidRDefault="002F495E" w:rsidP="0026419C">
      <w:pPr>
        <w:spacing w:after="0"/>
        <w:rPr>
          <w:rFonts w:ascii="Times New Roman" w:hAnsi="Times New Roman" w:cs="Times New Roman"/>
          <w:szCs w:val="22"/>
          <w:lang w:val="en-US"/>
        </w:rPr>
      </w:pPr>
      <w:r w:rsidRPr="007976F7">
        <w:rPr>
          <w:rFonts w:ascii="Times New Roman" w:hAnsi="Times New Roman" w:cs="Times New Roman"/>
          <w:szCs w:val="22"/>
          <w:lang w:val="en-US"/>
        </w:rPr>
        <w:t>(</w:t>
      </w:r>
      <w:r w:rsidR="007976F7" w:rsidRPr="007976F7">
        <w:rPr>
          <w:rFonts w:ascii="Times New Roman" w:hAnsi="Times New Roman" w:cs="Times New Roman"/>
          <w:szCs w:val="22"/>
          <w:lang w:val="en-US"/>
        </w:rPr>
        <w:t>ii</w:t>
      </w:r>
      <w:r w:rsidRPr="007976F7">
        <w:rPr>
          <w:rFonts w:ascii="Times New Roman" w:hAnsi="Times New Roman" w:cs="Times New Roman"/>
          <w:szCs w:val="22"/>
          <w:lang w:val="en-US"/>
        </w:rPr>
        <w:t>)</w:t>
      </w:r>
      <w:r w:rsidR="007976F7">
        <w:rPr>
          <w:rFonts w:ascii="Times New Roman" w:hAnsi="Times New Roman" w:cs="Times New Roman"/>
          <w:szCs w:val="22"/>
          <w:lang w:val="en-US"/>
        </w:rPr>
        <w:t>:</w:t>
      </w:r>
      <w:r w:rsidRPr="000D259D">
        <w:rPr>
          <w:rFonts w:ascii="Times New Roman" w:hAnsi="Times New Roman" w:cs="Times New Roman"/>
          <w:szCs w:val="22"/>
          <w:lang w:val="en-US"/>
        </w:rPr>
        <w:t xml:space="preserve"> </w:t>
      </w:r>
      <w:r w:rsidRPr="000D259D">
        <w:rPr>
          <w:rFonts w:ascii="Times New Roman" w:hAnsi="Times New Roman" w:cs="Times New Roman"/>
          <w:szCs w:val="22"/>
          <w:lang w:val="en-US"/>
        </w:rPr>
        <w:tab/>
        <w:t>The word ‘</w:t>
      </w:r>
      <w:r w:rsidRPr="007976F7">
        <w:rPr>
          <w:rFonts w:ascii="Times New Roman" w:hAnsi="Times New Roman" w:cs="Times New Roman"/>
          <w:b/>
          <w:bCs/>
          <w:i/>
          <w:iCs/>
          <w:szCs w:val="22"/>
          <w:lang w:val="en-US"/>
        </w:rPr>
        <w:t>fablets</w:t>
      </w:r>
      <w:r w:rsidRPr="000D259D">
        <w:rPr>
          <w:rFonts w:ascii="Times New Roman" w:hAnsi="Times New Roman" w:cs="Times New Roman"/>
          <w:szCs w:val="22"/>
          <w:lang w:val="en-US"/>
        </w:rPr>
        <w:t xml:space="preserve">’ given under </w:t>
      </w:r>
      <w:r w:rsidRPr="007976F7">
        <w:rPr>
          <w:rFonts w:ascii="Times New Roman" w:hAnsi="Times New Roman" w:cs="Times New Roman"/>
          <w:b/>
          <w:bCs/>
          <w:szCs w:val="22"/>
          <w:lang w:val="en-US"/>
        </w:rPr>
        <w:t>para 4.5.18, Page No. C-10</w:t>
      </w:r>
      <w:r w:rsidRPr="000D259D">
        <w:rPr>
          <w:rFonts w:ascii="Times New Roman" w:hAnsi="Times New Roman" w:cs="Times New Roman"/>
          <w:szCs w:val="22"/>
          <w:lang w:val="en-US"/>
        </w:rPr>
        <w:t xml:space="preserve"> of Instructions to Field Staff, Vol.I may be corrected as ‘</w:t>
      </w:r>
      <w:r w:rsidRPr="007976F7">
        <w:rPr>
          <w:rFonts w:ascii="Times New Roman" w:hAnsi="Times New Roman" w:cs="Times New Roman"/>
          <w:b/>
          <w:bCs/>
          <w:i/>
          <w:iCs/>
          <w:szCs w:val="22"/>
          <w:lang w:val="en-US"/>
        </w:rPr>
        <w:t>phablets</w:t>
      </w:r>
      <w:r w:rsidRPr="007976F7">
        <w:rPr>
          <w:rFonts w:ascii="Times New Roman" w:hAnsi="Times New Roman" w:cs="Times New Roman"/>
          <w:b/>
          <w:bCs/>
          <w:szCs w:val="22"/>
          <w:lang w:val="en-US"/>
        </w:rPr>
        <w:t>’</w:t>
      </w:r>
    </w:p>
    <w:p w:rsidR="002F495E" w:rsidRPr="000D259D" w:rsidRDefault="002F495E" w:rsidP="0026419C">
      <w:pPr>
        <w:spacing w:after="0"/>
        <w:rPr>
          <w:rFonts w:ascii="Times New Roman" w:hAnsi="Times New Roman" w:cs="Times New Roman"/>
          <w:szCs w:val="22"/>
          <w:lang w:val="en-US"/>
        </w:rPr>
      </w:pPr>
    </w:p>
    <w:p w:rsidR="002F495E" w:rsidRPr="000D259D" w:rsidRDefault="002F495E" w:rsidP="00A85F6E">
      <w:pPr>
        <w:spacing w:after="0"/>
        <w:jc w:val="both"/>
        <w:rPr>
          <w:rFonts w:ascii="Times New Roman" w:hAnsi="Times New Roman" w:cs="Times New Roman"/>
          <w:szCs w:val="22"/>
          <w:lang w:val="en-US"/>
        </w:rPr>
      </w:pPr>
      <w:r w:rsidRPr="000D259D">
        <w:rPr>
          <w:rFonts w:ascii="Times New Roman" w:hAnsi="Times New Roman" w:cs="Times New Roman"/>
          <w:szCs w:val="22"/>
          <w:lang w:val="en-US"/>
        </w:rPr>
        <w:t>(</w:t>
      </w:r>
      <w:r w:rsidR="007976F7">
        <w:rPr>
          <w:rFonts w:ascii="Times New Roman" w:hAnsi="Times New Roman" w:cs="Times New Roman"/>
          <w:szCs w:val="22"/>
          <w:lang w:val="en-US"/>
        </w:rPr>
        <w:t>iii</w:t>
      </w:r>
      <w:r w:rsidRPr="000D259D">
        <w:rPr>
          <w:rFonts w:ascii="Times New Roman" w:hAnsi="Times New Roman" w:cs="Times New Roman"/>
          <w:szCs w:val="22"/>
          <w:lang w:val="en-US"/>
        </w:rPr>
        <w:t>)</w:t>
      </w:r>
      <w:r w:rsidR="007976F7">
        <w:rPr>
          <w:rFonts w:ascii="Times New Roman" w:hAnsi="Times New Roman" w:cs="Times New Roman"/>
          <w:szCs w:val="22"/>
          <w:lang w:val="en-US"/>
        </w:rPr>
        <w:t>:</w:t>
      </w:r>
      <w:r w:rsidRPr="000D259D">
        <w:rPr>
          <w:rFonts w:ascii="Times New Roman" w:hAnsi="Times New Roman" w:cs="Times New Roman"/>
          <w:szCs w:val="22"/>
          <w:lang w:val="en-US"/>
        </w:rPr>
        <w:t xml:space="preserve"> </w:t>
      </w:r>
      <w:r w:rsidR="00A85F6E">
        <w:rPr>
          <w:rFonts w:ascii="Times New Roman" w:hAnsi="Times New Roman" w:cs="Times New Roman"/>
          <w:szCs w:val="22"/>
          <w:lang w:val="en-US"/>
        </w:rPr>
        <w:t xml:space="preserve"> Under Expenditure blocks (Block 3 / 4), expenditure on ‘Rental Payable on (produced) fixed assets (other than land) can be reported either against item 461 (for Business &amp; Professional Service Activities) and/or against item 532 in block 4 : Other operating expenses. Accordingly, instructions given in </w:t>
      </w:r>
      <w:r w:rsidRPr="000D259D">
        <w:rPr>
          <w:rFonts w:ascii="Times New Roman" w:hAnsi="Times New Roman" w:cs="Times New Roman"/>
          <w:szCs w:val="22"/>
          <w:lang w:val="en-US"/>
        </w:rPr>
        <w:t>Para 6.22.7 in Page C-24 of Instructions to Field Staff, Vol.I may be corrected as under:</w:t>
      </w:r>
    </w:p>
    <w:p w:rsidR="002F495E" w:rsidRPr="000D259D" w:rsidRDefault="00A85F6E" w:rsidP="002F495E">
      <w:pPr>
        <w:tabs>
          <w:tab w:val="left" w:pos="720"/>
        </w:tabs>
        <w:spacing w:before="120" w:after="100" w:afterAutospacing="1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szCs w:val="22"/>
        </w:rPr>
        <w:t xml:space="preserve">“6.22.7: </w:t>
      </w:r>
      <w:r w:rsidR="002F495E" w:rsidRPr="000D259D">
        <w:rPr>
          <w:rFonts w:ascii="Times New Roman" w:hAnsi="Times New Roman" w:cs="Times New Roman"/>
          <w:b/>
          <w:szCs w:val="22"/>
        </w:rPr>
        <w:t>Item 532: Rental payable on fixed assets (other than land):</w:t>
      </w:r>
      <w:r w:rsidR="002F495E" w:rsidRPr="000D259D">
        <w:rPr>
          <w:rFonts w:ascii="Times New Roman" w:hAnsi="Times New Roman" w:cs="Times New Roman"/>
          <w:szCs w:val="22"/>
        </w:rPr>
        <w:t xml:space="preserve"> Rental on hired fixed assets other than land may be noted against this item. Hiring of machinery and equipment by the enterprise is a common phenomenon for many of the informal enterprises. Total monthly rental payable by the enterprise on account of hiring of fixed assets is to be recorded against this item. </w:t>
      </w:r>
      <w:r w:rsidRPr="000D259D">
        <w:rPr>
          <w:rFonts w:ascii="Times New Roman" w:hAnsi="Times New Roman" w:cs="Times New Roman"/>
          <w:szCs w:val="22"/>
        </w:rPr>
        <w:t>Care may be taken not to duplicate the expenditure already reported against item 461 of block 3.</w:t>
      </w:r>
      <w:r>
        <w:rPr>
          <w:rFonts w:ascii="Times New Roman" w:hAnsi="Times New Roman" w:cs="Times New Roman"/>
          <w:szCs w:val="22"/>
        </w:rPr>
        <w:t xml:space="preserve"> </w:t>
      </w:r>
      <w:r w:rsidR="002F495E" w:rsidRPr="000D259D">
        <w:rPr>
          <w:rFonts w:ascii="Times New Roman" w:hAnsi="Times New Roman" w:cs="Times New Roman"/>
          <w:b/>
          <w:bCs/>
          <w:szCs w:val="22"/>
        </w:rPr>
        <w:t>The sum of entr</w:t>
      </w:r>
      <w:r>
        <w:rPr>
          <w:rFonts w:ascii="Times New Roman" w:hAnsi="Times New Roman" w:cs="Times New Roman"/>
          <w:b/>
          <w:bCs/>
          <w:szCs w:val="22"/>
        </w:rPr>
        <w:t xml:space="preserve">ies </w:t>
      </w:r>
      <w:r w:rsidR="002F495E" w:rsidRPr="000D259D">
        <w:rPr>
          <w:rFonts w:ascii="Times New Roman" w:hAnsi="Times New Roman" w:cs="Times New Roman"/>
          <w:b/>
          <w:bCs/>
          <w:szCs w:val="22"/>
        </w:rPr>
        <w:t>against item 532</w:t>
      </w:r>
      <w:r w:rsidR="000D259D" w:rsidRPr="000D259D">
        <w:rPr>
          <w:rFonts w:ascii="Times New Roman" w:hAnsi="Times New Roman" w:cs="Times New Roman"/>
          <w:b/>
          <w:bCs/>
          <w:szCs w:val="22"/>
        </w:rPr>
        <w:t xml:space="preserve"> and item 461 (if reported) should be equal to total of entries under col.6 of items 1002- 1007 in Block 10</w:t>
      </w:r>
      <w:r w:rsidR="000D259D" w:rsidRPr="000D259D">
        <w:rPr>
          <w:rFonts w:ascii="Times New Roman" w:hAnsi="Times New Roman" w:cs="Times New Roman"/>
          <w:szCs w:val="22"/>
        </w:rPr>
        <w:t>.</w:t>
      </w:r>
      <w:r>
        <w:rPr>
          <w:rFonts w:ascii="Times New Roman" w:hAnsi="Times New Roman" w:cs="Times New Roman"/>
          <w:szCs w:val="22"/>
        </w:rPr>
        <w:t>”</w:t>
      </w:r>
      <w:r w:rsidR="002F495E" w:rsidRPr="000D259D">
        <w:rPr>
          <w:rFonts w:ascii="Times New Roman" w:hAnsi="Times New Roman" w:cs="Times New Roman"/>
          <w:szCs w:val="22"/>
        </w:rPr>
        <w:t xml:space="preserve"> </w:t>
      </w:r>
    </w:p>
    <w:p w:rsidR="002F495E" w:rsidRPr="000D259D" w:rsidRDefault="002F495E" w:rsidP="0026419C">
      <w:pPr>
        <w:spacing w:after="0"/>
        <w:rPr>
          <w:rFonts w:ascii="Times New Roman" w:hAnsi="Times New Roman" w:cs="Times New Roman"/>
          <w:szCs w:val="22"/>
          <w:lang w:val="en-US"/>
        </w:rPr>
      </w:pPr>
    </w:p>
    <w:sectPr w:rsidR="002F495E" w:rsidRPr="000D259D" w:rsidSect="00A743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5F3" w:rsidRDefault="000F45F3" w:rsidP="00D62732">
      <w:pPr>
        <w:spacing w:after="0" w:line="240" w:lineRule="auto"/>
      </w:pPr>
      <w:r>
        <w:separator/>
      </w:r>
    </w:p>
  </w:endnote>
  <w:endnote w:type="continuationSeparator" w:id="1">
    <w:p w:rsidR="000F45F3" w:rsidRDefault="000F45F3" w:rsidP="00D62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5F3" w:rsidRDefault="000F45F3" w:rsidP="00D62732">
      <w:pPr>
        <w:spacing w:after="0" w:line="240" w:lineRule="auto"/>
      </w:pPr>
      <w:r>
        <w:separator/>
      </w:r>
    </w:p>
  </w:footnote>
  <w:footnote w:type="continuationSeparator" w:id="1">
    <w:p w:rsidR="000F45F3" w:rsidRDefault="000F45F3" w:rsidP="00D627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2732"/>
    <w:rsid w:val="000577E9"/>
    <w:rsid w:val="000D259D"/>
    <w:rsid w:val="000F45F3"/>
    <w:rsid w:val="0013017D"/>
    <w:rsid w:val="0026419C"/>
    <w:rsid w:val="00285573"/>
    <w:rsid w:val="002F495E"/>
    <w:rsid w:val="00300C83"/>
    <w:rsid w:val="00375C2B"/>
    <w:rsid w:val="00467CD8"/>
    <w:rsid w:val="004B5BC7"/>
    <w:rsid w:val="005E5D6E"/>
    <w:rsid w:val="005E783C"/>
    <w:rsid w:val="006B7FCF"/>
    <w:rsid w:val="007074B7"/>
    <w:rsid w:val="007139FD"/>
    <w:rsid w:val="00740049"/>
    <w:rsid w:val="007976F7"/>
    <w:rsid w:val="00971513"/>
    <w:rsid w:val="00A74366"/>
    <w:rsid w:val="00A85F6E"/>
    <w:rsid w:val="00B4157D"/>
    <w:rsid w:val="00BC54A6"/>
    <w:rsid w:val="00D62732"/>
    <w:rsid w:val="00F24E48"/>
    <w:rsid w:val="00F40ACA"/>
    <w:rsid w:val="00F74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3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27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627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2732"/>
  </w:style>
  <w:style w:type="paragraph" w:styleId="Footer">
    <w:name w:val="footer"/>
    <w:basedOn w:val="Normal"/>
    <w:link w:val="FooterChar"/>
    <w:uiPriority w:val="99"/>
    <w:semiHidden/>
    <w:unhideWhenUsed/>
    <w:rsid w:val="00D627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27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NSSO</dc:creator>
  <cp:lastModifiedBy>NSSO</cp:lastModifiedBy>
  <cp:revision>6</cp:revision>
  <cp:lastPrinted>2015-07-15T05:20:00Z</cp:lastPrinted>
  <dcterms:created xsi:type="dcterms:W3CDTF">2015-07-15T10:22:00Z</dcterms:created>
  <dcterms:modified xsi:type="dcterms:W3CDTF">2015-07-15T11:55:00Z</dcterms:modified>
</cp:coreProperties>
</file>